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6D4" w:rsidRDefault="00CA76D4" w:rsidP="00C4365D">
      <w:pPr>
        <w:pStyle w:val="KeinLeerraum"/>
        <w:rPr>
          <w:b/>
          <w:sz w:val="24"/>
          <w:szCs w:val="24"/>
        </w:rPr>
      </w:pPr>
      <w:bookmarkStart w:id="0" w:name="OLE_LINK1"/>
      <w:bookmarkStart w:id="1" w:name="OLE_LINK2"/>
    </w:p>
    <w:p w:rsidR="000E7EB3" w:rsidRPr="00C4365D" w:rsidRDefault="00C4365D" w:rsidP="00C4365D">
      <w:pPr>
        <w:pStyle w:val="KeinLeerraum"/>
        <w:rPr>
          <w:b/>
          <w:sz w:val="24"/>
          <w:szCs w:val="24"/>
        </w:rPr>
      </w:pPr>
      <w:r w:rsidRPr="00C4365D">
        <w:rPr>
          <w:b/>
          <w:sz w:val="24"/>
          <w:szCs w:val="24"/>
        </w:rPr>
        <w:t>Projektplanung XML-Laborschnittstelle Version 4</w:t>
      </w:r>
    </w:p>
    <w:p w:rsidR="00C4365D" w:rsidRDefault="00C4365D" w:rsidP="00C4365D">
      <w:pPr>
        <w:pStyle w:val="KeinLeerraum"/>
      </w:pPr>
    </w:p>
    <w:p w:rsidR="00CA76D4" w:rsidRDefault="00CA76D4" w:rsidP="00C4365D">
      <w:pPr>
        <w:pStyle w:val="KeinLeerraum"/>
      </w:pPr>
    </w:p>
    <w:p w:rsidR="00C4365D" w:rsidRDefault="00C4365D" w:rsidP="00C4365D">
      <w:pPr>
        <w:pStyle w:val="KeinLeerraum"/>
      </w:pPr>
      <w:r>
        <w:t>Phase 1 – Entwurf</w:t>
      </w:r>
    </w:p>
    <w:p w:rsidR="00C4365D" w:rsidRDefault="00C4365D" w:rsidP="00C4365D">
      <w:pPr>
        <w:pStyle w:val="KeinLeerraum"/>
      </w:pPr>
    </w:p>
    <w:tbl>
      <w:tblPr>
        <w:tblStyle w:val="Tabellenraster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674"/>
        <w:gridCol w:w="5521"/>
        <w:gridCol w:w="1220"/>
        <w:gridCol w:w="1873"/>
      </w:tblGrid>
      <w:tr w:rsidR="00BD285C" w:rsidTr="00C4365D">
        <w:tc>
          <w:tcPr>
            <w:tcW w:w="675" w:type="dxa"/>
            <w:shd w:val="clear" w:color="auto" w:fill="EAF1DD" w:themeFill="accent3" w:themeFillTint="33"/>
          </w:tcPr>
          <w:p w:rsidR="00C4365D" w:rsidRDefault="00C4365D" w:rsidP="00C4365D">
            <w:pPr>
              <w:pStyle w:val="KeinLeerraum"/>
            </w:pPr>
            <w:r>
              <w:t>Nr.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C4365D" w:rsidRDefault="00C4365D" w:rsidP="00C4365D">
            <w:pPr>
              <w:pStyle w:val="KeinLeerraum"/>
            </w:pPr>
            <w:r>
              <w:t>Inhalt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C4365D" w:rsidRDefault="00C4365D" w:rsidP="00C4365D">
            <w:pPr>
              <w:pStyle w:val="KeinLeerraum"/>
            </w:pPr>
            <w:r>
              <w:t>Termin</w:t>
            </w:r>
          </w:p>
        </w:tc>
        <w:tc>
          <w:tcPr>
            <w:tcW w:w="1874" w:type="dxa"/>
            <w:shd w:val="clear" w:color="auto" w:fill="EAF1DD" w:themeFill="accent3" w:themeFillTint="33"/>
          </w:tcPr>
          <w:p w:rsidR="00C4365D" w:rsidRDefault="00C4365D" w:rsidP="00C4365D">
            <w:pPr>
              <w:pStyle w:val="KeinLeerraum"/>
            </w:pPr>
            <w:r>
              <w:t>Verantwortlich</w:t>
            </w:r>
          </w:p>
        </w:tc>
      </w:tr>
      <w:tr w:rsidR="00C4365D" w:rsidTr="00684D4B">
        <w:tc>
          <w:tcPr>
            <w:tcW w:w="9212" w:type="dxa"/>
            <w:gridSpan w:val="4"/>
          </w:tcPr>
          <w:p w:rsidR="00C4365D" w:rsidRPr="00C4365D" w:rsidRDefault="00C4365D" w:rsidP="00C4365D">
            <w:pPr>
              <w:pStyle w:val="KeinLeerraum"/>
              <w:rPr>
                <w:sz w:val="10"/>
                <w:szCs w:val="10"/>
              </w:rPr>
            </w:pPr>
          </w:p>
        </w:tc>
      </w:tr>
      <w:tr w:rsidR="00BD285C" w:rsidTr="00C4365D">
        <w:tc>
          <w:tcPr>
            <w:tcW w:w="675" w:type="dxa"/>
          </w:tcPr>
          <w:p w:rsidR="00C4365D" w:rsidRDefault="00C4365D" w:rsidP="00C4365D">
            <w:pPr>
              <w:pStyle w:val="KeinLeerraum"/>
            </w:pPr>
            <w:r>
              <w:t>1.1</w:t>
            </w:r>
          </w:p>
        </w:tc>
        <w:tc>
          <w:tcPr>
            <w:tcW w:w="5529" w:type="dxa"/>
          </w:tcPr>
          <w:p w:rsidR="00C4365D" w:rsidRDefault="00C4365D" w:rsidP="00C4365D">
            <w:pPr>
              <w:pStyle w:val="KeinLeerraum"/>
            </w:pPr>
            <w:r>
              <w:t>Sammlung und Überprüfung der geplanten Erweiterungen</w:t>
            </w:r>
          </w:p>
        </w:tc>
        <w:tc>
          <w:tcPr>
            <w:tcW w:w="1134" w:type="dxa"/>
          </w:tcPr>
          <w:p w:rsidR="00C4365D" w:rsidRDefault="00BD285C" w:rsidP="00BD285C">
            <w:pPr>
              <w:pStyle w:val="KeinLeerraum"/>
            </w:pPr>
            <w:r>
              <w:t>11</w:t>
            </w:r>
            <w:r w:rsidR="00875BC1">
              <w:t>.0</w:t>
            </w:r>
            <w:r>
              <w:t>5</w:t>
            </w:r>
            <w:r w:rsidR="00C4365D">
              <w:t>.2012</w:t>
            </w:r>
          </w:p>
        </w:tc>
        <w:tc>
          <w:tcPr>
            <w:tcW w:w="1874" w:type="dxa"/>
          </w:tcPr>
          <w:p w:rsidR="00C4365D" w:rsidRDefault="00C4365D" w:rsidP="00C4365D">
            <w:pPr>
              <w:pStyle w:val="KeinLeerraum"/>
            </w:pPr>
            <w:proofErr w:type="spellStart"/>
            <w:r>
              <w:t>Kieselnitzki</w:t>
            </w:r>
            <w:proofErr w:type="spellEnd"/>
            <w:r>
              <w:t xml:space="preserve">, </w:t>
            </w:r>
            <w:proofErr w:type="spellStart"/>
            <w:r>
              <w:t>Marschke</w:t>
            </w:r>
            <w:proofErr w:type="spellEnd"/>
            <w:r>
              <w:t>, Brand</w:t>
            </w:r>
          </w:p>
        </w:tc>
      </w:tr>
      <w:tr w:rsidR="00BD285C" w:rsidTr="00C4365D">
        <w:tc>
          <w:tcPr>
            <w:tcW w:w="675" w:type="dxa"/>
          </w:tcPr>
          <w:p w:rsidR="00C4365D" w:rsidRDefault="00C4365D" w:rsidP="00C4365D">
            <w:pPr>
              <w:pStyle w:val="KeinLeerraum"/>
            </w:pPr>
            <w:r>
              <w:t>1.2</w:t>
            </w:r>
          </w:p>
        </w:tc>
        <w:tc>
          <w:tcPr>
            <w:tcW w:w="5529" w:type="dxa"/>
          </w:tcPr>
          <w:p w:rsidR="00C4365D" w:rsidRDefault="00C4365D" w:rsidP="00C4365D">
            <w:pPr>
              <w:pStyle w:val="KeinLeerraum"/>
            </w:pPr>
            <w:r>
              <w:t>Einarbeiten der Neuerungen in das XSD-Schema</w:t>
            </w:r>
          </w:p>
        </w:tc>
        <w:tc>
          <w:tcPr>
            <w:tcW w:w="1134" w:type="dxa"/>
          </w:tcPr>
          <w:p w:rsidR="00C4365D" w:rsidRDefault="00BD285C" w:rsidP="00BD285C">
            <w:pPr>
              <w:pStyle w:val="KeinLeerraum"/>
            </w:pPr>
            <w:r>
              <w:t>11</w:t>
            </w:r>
            <w:r w:rsidR="00875BC1">
              <w:t>.0</w:t>
            </w:r>
            <w:r>
              <w:t>5</w:t>
            </w:r>
            <w:r w:rsidR="00C4365D">
              <w:t>.2012</w:t>
            </w:r>
          </w:p>
        </w:tc>
        <w:tc>
          <w:tcPr>
            <w:tcW w:w="1874" w:type="dxa"/>
          </w:tcPr>
          <w:p w:rsidR="00C4365D" w:rsidRDefault="00C4365D" w:rsidP="00C4365D">
            <w:pPr>
              <w:pStyle w:val="KeinLeerraum"/>
            </w:pPr>
            <w:proofErr w:type="spellStart"/>
            <w:r>
              <w:t>Kieselnitzki</w:t>
            </w:r>
            <w:proofErr w:type="spellEnd"/>
            <w:r>
              <w:t xml:space="preserve">, </w:t>
            </w:r>
            <w:proofErr w:type="spellStart"/>
            <w:r>
              <w:t>Marschke</w:t>
            </w:r>
            <w:proofErr w:type="spellEnd"/>
            <w:r>
              <w:t>, Brand</w:t>
            </w:r>
          </w:p>
        </w:tc>
      </w:tr>
      <w:tr w:rsidR="00BD285C" w:rsidTr="00C4365D">
        <w:tc>
          <w:tcPr>
            <w:tcW w:w="675" w:type="dxa"/>
          </w:tcPr>
          <w:p w:rsidR="00C4365D" w:rsidRDefault="00C4365D" w:rsidP="00C4365D">
            <w:pPr>
              <w:pStyle w:val="KeinLeerraum"/>
            </w:pPr>
            <w:r>
              <w:t>1.3</w:t>
            </w:r>
          </w:p>
        </w:tc>
        <w:tc>
          <w:tcPr>
            <w:tcW w:w="5529" w:type="dxa"/>
          </w:tcPr>
          <w:p w:rsidR="00C4365D" w:rsidRDefault="00C4365D" w:rsidP="00C4365D">
            <w:pPr>
              <w:pStyle w:val="KeinLeerraum"/>
            </w:pPr>
            <w:r>
              <w:t>Erarbeitung der PDF-Dokumentation zum neuen Schema</w:t>
            </w:r>
          </w:p>
        </w:tc>
        <w:tc>
          <w:tcPr>
            <w:tcW w:w="1134" w:type="dxa"/>
          </w:tcPr>
          <w:p w:rsidR="00C4365D" w:rsidRDefault="00BD285C" w:rsidP="00BD285C">
            <w:pPr>
              <w:pStyle w:val="KeinLeerraum"/>
            </w:pPr>
            <w:r>
              <w:t>11</w:t>
            </w:r>
            <w:r w:rsidR="00875BC1">
              <w:t>.0</w:t>
            </w:r>
            <w:r>
              <w:t>5</w:t>
            </w:r>
            <w:r w:rsidR="00C4365D">
              <w:t>.2012</w:t>
            </w:r>
          </w:p>
        </w:tc>
        <w:tc>
          <w:tcPr>
            <w:tcW w:w="1874" w:type="dxa"/>
          </w:tcPr>
          <w:p w:rsidR="00C4365D" w:rsidRDefault="00C4365D" w:rsidP="00C4365D">
            <w:pPr>
              <w:pStyle w:val="KeinLeerraum"/>
            </w:pPr>
            <w:proofErr w:type="spellStart"/>
            <w:r>
              <w:t>Kieselnitzki</w:t>
            </w:r>
            <w:proofErr w:type="spellEnd"/>
            <w:r>
              <w:t xml:space="preserve">, </w:t>
            </w:r>
            <w:proofErr w:type="spellStart"/>
            <w:r>
              <w:t>Marschke</w:t>
            </w:r>
            <w:proofErr w:type="spellEnd"/>
            <w:r>
              <w:t>, Brand</w:t>
            </w:r>
          </w:p>
        </w:tc>
      </w:tr>
      <w:tr w:rsidR="00BD285C" w:rsidTr="00C4365D">
        <w:tc>
          <w:tcPr>
            <w:tcW w:w="675" w:type="dxa"/>
          </w:tcPr>
          <w:p w:rsidR="00C4365D" w:rsidRDefault="00C4365D" w:rsidP="00C4365D">
            <w:pPr>
              <w:pStyle w:val="KeinLeerraum"/>
            </w:pPr>
            <w:r>
              <w:t>1.4</w:t>
            </w:r>
          </w:p>
        </w:tc>
        <w:tc>
          <w:tcPr>
            <w:tcW w:w="5529" w:type="dxa"/>
          </w:tcPr>
          <w:p w:rsidR="00C4365D" w:rsidRDefault="00C4365D" w:rsidP="00C4365D">
            <w:pPr>
              <w:pStyle w:val="KeinLeerraum"/>
            </w:pPr>
            <w:r>
              <w:t>Erarbeitung einer Übersicht der notwendigen Anpassungen bezüglich:</w:t>
            </w:r>
          </w:p>
          <w:p w:rsidR="00C4365D" w:rsidRDefault="00C4365D" w:rsidP="00C4365D">
            <w:pPr>
              <w:pStyle w:val="KeinLeerraum"/>
              <w:numPr>
                <w:ilvl w:val="0"/>
                <w:numId w:val="5"/>
              </w:numPr>
            </w:pPr>
            <w:r>
              <w:t>KZBV Prüfmodule</w:t>
            </w:r>
          </w:p>
          <w:p w:rsidR="00C4365D" w:rsidRDefault="00C4365D" w:rsidP="00C4365D">
            <w:pPr>
              <w:pStyle w:val="KeinLeerraum"/>
              <w:numPr>
                <w:ilvl w:val="0"/>
                <w:numId w:val="5"/>
              </w:numPr>
            </w:pPr>
            <w:r>
              <w:t>Laborsoftware</w:t>
            </w:r>
          </w:p>
          <w:p w:rsidR="00C4365D" w:rsidRDefault="00C4365D" w:rsidP="00C4365D">
            <w:pPr>
              <w:pStyle w:val="KeinLeerraum"/>
              <w:numPr>
                <w:ilvl w:val="0"/>
                <w:numId w:val="5"/>
              </w:numPr>
            </w:pPr>
            <w:r>
              <w:t>Praxisverwaltungssoftware</w:t>
            </w:r>
          </w:p>
        </w:tc>
        <w:tc>
          <w:tcPr>
            <w:tcW w:w="1134" w:type="dxa"/>
          </w:tcPr>
          <w:p w:rsidR="00C4365D" w:rsidRDefault="00BD285C" w:rsidP="00BD285C">
            <w:pPr>
              <w:pStyle w:val="KeinLeerraum"/>
            </w:pPr>
            <w:r>
              <w:t>11</w:t>
            </w:r>
            <w:r w:rsidR="00875BC1">
              <w:t>.0</w:t>
            </w:r>
            <w:r>
              <w:t>5</w:t>
            </w:r>
            <w:r w:rsidR="00C4365D">
              <w:t>.2012</w:t>
            </w:r>
          </w:p>
        </w:tc>
        <w:tc>
          <w:tcPr>
            <w:tcW w:w="1874" w:type="dxa"/>
          </w:tcPr>
          <w:p w:rsidR="00C4365D" w:rsidRDefault="00C4365D" w:rsidP="00C4365D">
            <w:pPr>
              <w:pStyle w:val="KeinLeerraum"/>
            </w:pPr>
            <w:proofErr w:type="spellStart"/>
            <w:r>
              <w:t>Kieselnitzki</w:t>
            </w:r>
            <w:proofErr w:type="spellEnd"/>
            <w:r>
              <w:t xml:space="preserve">, </w:t>
            </w:r>
            <w:proofErr w:type="spellStart"/>
            <w:r>
              <w:t>Marschke</w:t>
            </w:r>
            <w:proofErr w:type="spellEnd"/>
            <w:r>
              <w:t>, Brand</w:t>
            </w:r>
          </w:p>
        </w:tc>
      </w:tr>
      <w:tr w:rsidR="00BD285C" w:rsidTr="00C4365D">
        <w:tc>
          <w:tcPr>
            <w:tcW w:w="675" w:type="dxa"/>
          </w:tcPr>
          <w:p w:rsidR="0005663A" w:rsidRDefault="0005663A" w:rsidP="00C4365D">
            <w:pPr>
              <w:pStyle w:val="KeinLeerraum"/>
            </w:pPr>
            <w:r>
              <w:t>1.5</w:t>
            </w:r>
          </w:p>
        </w:tc>
        <w:tc>
          <w:tcPr>
            <w:tcW w:w="5529" w:type="dxa"/>
          </w:tcPr>
          <w:p w:rsidR="0005663A" w:rsidRDefault="0005663A" w:rsidP="0005663A">
            <w:pPr>
              <w:pStyle w:val="KeinLeerraum"/>
            </w:pPr>
            <w:r>
              <w:t>Verteilung der Dokumente an alle Beteiligten</w:t>
            </w:r>
          </w:p>
          <w:p w:rsidR="0005663A" w:rsidRDefault="0005663A" w:rsidP="0005663A">
            <w:pPr>
              <w:pStyle w:val="KeinLeerraum"/>
            </w:pPr>
          </w:p>
          <w:p w:rsidR="0005663A" w:rsidRDefault="0005663A" w:rsidP="0005663A">
            <w:pPr>
              <w:pStyle w:val="KeinLeerraum"/>
            </w:pPr>
            <w:r>
              <w:t>Wichtig: Information, dass es sich um einen abzustimmenden Entwurf handelt, der nicht sofort produktiv umzusetzen ist.</w:t>
            </w:r>
          </w:p>
        </w:tc>
        <w:tc>
          <w:tcPr>
            <w:tcW w:w="1134" w:type="dxa"/>
          </w:tcPr>
          <w:p w:rsidR="0005663A" w:rsidRDefault="00137811" w:rsidP="00BD285C">
            <w:pPr>
              <w:pStyle w:val="KeinLeerraum"/>
            </w:pPr>
            <w:r>
              <w:t>21</w:t>
            </w:r>
            <w:r w:rsidR="0005663A">
              <w:t>.0</w:t>
            </w:r>
            <w:r w:rsidR="00BD285C">
              <w:t>5</w:t>
            </w:r>
            <w:r w:rsidR="0005663A">
              <w:t>.2012</w:t>
            </w:r>
          </w:p>
        </w:tc>
        <w:tc>
          <w:tcPr>
            <w:tcW w:w="1874" w:type="dxa"/>
          </w:tcPr>
          <w:p w:rsidR="0005663A" w:rsidRDefault="0005663A" w:rsidP="00C4365D">
            <w:pPr>
              <w:pStyle w:val="KeinLeerraum"/>
            </w:pPr>
            <w:proofErr w:type="spellStart"/>
            <w:r>
              <w:t>Kieselnitzki</w:t>
            </w:r>
            <w:proofErr w:type="spellEnd"/>
            <w:r>
              <w:t xml:space="preserve">, </w:t>
            </w:r>
            <w:proofErr w:type="spellStart"/>
            <w:r>
              <w:t>Marschke</w:t>
            </w:r>
            <w:proofErr w:type="spellEnd"/>
            <w:r>
              <w:t>, Brand</w:t>
            </w:r>
          </w:p>
        </w:tc>
      </w:tr>
    </w:tbl>
    <w:p w:rsidR="00C4365D" w:rsidRDefault="00C4365D" w:rsidP="00C4365D">
      <w:pPr>
        <w:pStyle w:val="KeinLeerraum"/>
      </w:pPr>
    </w:p>
    <w:p w:rsidR="00C4365D" w:rsidRDefault="00C4365D" w:rsidP="00C4365D">
      <w:pPr>
        <w:pStyle w:val="KeinLeerraum"/>
      </w:pPr>
    </w:p>
    <w:p w:rsidR="00C4365D" w:rsidRDefault="00C4365D" w:rsidP="00C4365D">
      <w:pPr>
        <w:pStyle w:val="KeinLeerraum"/>
      </w:pPr>
      <w:r>
        <w:t>Phase 2 – Abstimmung</w:t>
      </w:r>
    </w:p>
    <w:p w:rsidR="00C4365D" w:rsidRDefault="00C4365D" w:rsidP="00C4365D">
      <w:pPr>
        <w:pStyle w:val="KeinLeerraum"/>
      </w:pPr>
    </w:p>
    <w:tbl>
      <w:tblPr>
        <w:tblStyle w:val="Tabellenraster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675"/>
        <w:gridCol w:w="5520"/>
        <w:gridCol w:w="1220"/>
        <w:gridCol w:w="1873"/>
      </w:tblGrid>
      <w:tr w:rsidR="00BD285C" w:rsidTr="00C4365D">
        <w:tc>
          <w:tcPr>
            <w:tcW w:w="675" w:type="dxa"/>
            <w:shd w:val="clear" w:color="auto" w:fill="EAF1DD" w:themeFill="accent3" w:themeFillTint="33"/>
          </w:tcPr>
          <w:p w:rsidR="00C4365D" w:rsidRDefault="00C4365D" w:rsidP="0035146F">
            <w:pPr>
              <w:pStyle w:val="KeinLeerraum"/>
            </w:pPr>
            <w:r>
              <w:t>Nr.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C4365D" w:rsidRDefault="00C4365D" w:rsidP="0035146F">
            <w:pPr>
              <w:pStyle w:val="KeinLeerraum"/>
            </w:pPr>
            <w:r>
              <w:t>Inhalt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C4365D" w:rsidRDefault="00C4365D" w:rsidP="0035146F">
            <w:pPr>
              <w:pStyle w:val="KeinLeerraum"/>
            </w:pPr>
            <w:r>
              <w:t>Termin</w:t>
            </w:r>
          </w:p>
        </w:tc>
        <w:tc>
          <w:tcPr>
            <w:tcW w:w="1874" w:type="dxa"/>
            <w:shd w:val="clear" w:color="auto" w:fill="EAF1DD" w:themeFill="accent3" w:themeFillTint="33"/>
          </w:tcPr>
          <w:p w:rsidR="00C4365D" w:rsidRDefault="00C4365D" w:rsidP="0035146F">
            <w:pPr>
              <w:pStyle w:val="KeinLeerraum"/>
            </w:pPr>
            <w:r>
              <w:t>Verantwortlich</w:t>
            </w:r>
          </w:p>
        </w:tc>
      </w:tr>
      <w:tr w:rsidR="00C4365D" w:rsidTr="0035146F">
        <w:tc>
          <w:tcPr>
            <w:tcW w:w="9212" w:type="dxa"/>
            <w:gridSpan w:val="4"/>
          </w:tcPr>
          <w:p w:rsidR="00C4365D" w:rsidRPr="00C4365D" w:rsidRDefault="00C4365D" w:rsidP="0035146F">
            <w:pPr>
              <w:pStyle w:val="KeinLeerraum"/>
              <w:rPr>
                <w:sz w:val="10"/>
                <w:szCs w:val="10"/>
              </w:rPr>
            </w:pPr>
          </w:p>
        </w:tc>
      </w:tr>
      <w:tr w:rsidR="00BD285C" w:rsidTr="00C4365D">
        <w:tc>
          <w:tcPr>
            <w:tcW w:w="675" w:type="dxa"/>
          </w:tcPr>
          <w:p w:rsidR="00C4365D" w:rsidRDefault="00C4365D" w:rsidP="0035146F">
            <w:pPr>
              <w:pStyle w:val="KeinLeerraum"/>
            </w:pPr>
            <w:r>
              <w:t>2.1</w:t>
            </w:r>
          </w:p>
        </w:tc>
        <w:tc>
          <w:tcPr>
            <w:tcW w:w="5529" w:type="dxa"/>
          </w:tcPr>
          <w:p w:rsidR="00C4365D" w:rsidRDefault="00C4365D" w:rsidP="0035146F">
            <w:pPr>
              <w:pStyle w:val="KeinLeerraum"/>
            </w:pPr>
            <w:r>
              <w:t>Abstimmung innerhalb des VDZI</w:t>
            </w:r>
          </w:p>
        </w:tc>
        <w:tc>
          <w:tcPr>
            <w:tcW w:w="1134" w:type="dxa"/>
          </w:tcPr>
          <w:p w:rsidR="00C4365D" w:rsidRDefault="00BD285C" w:rsidP="00BD285C">
            <w:pPr>
              <w:pStyle w:val="KeinLeerraum"/>
            </w:pPr>
            <w:r>
              <w:t>01</w:t>
            </w:r>
            <w:r w:rsidR="00C4365D">
              <w:t>.0</w:t>
            </w:r>
            <w:r>
              <w:t>6</w:t>
            </w:r>
            <w:r w:rsidR="00C4365D">
              <w:t>.2012</w:t>
            </w:r>
          </w:p>
        </w:tc>
        <w:tc>
          <w:tcPr>
            <w:tcW w:w="1874" w:type="dxa"/>
          </w:tcPr>
          <w:p w:rsidR="00C4365D" w:rsidRDefault="00C4365D" w:rsidP="0035146F">
            <w:pPr>
              <w:pStyle w:val="KeinLeerraum"/>
            </w:pPr>
            <w:proofErr w:type="spellStart"/>
            <w:r>
              <w:t>Marschke</w:t>
            </w:r>
            <w:proofErr w:type="spellEnd"/>
          </w:p>
        </w:tc>
      </w:tr>
      <w:tr w:rsidR="00BD285C" w:rsidTr="00C4365D">
        <w:tc>
          <w:tcPr>
            <w:tcW w:w="675" w:type="dxa"/>
          </w:tcPr>
          <w:p w:rsidR="00C4365D" w:rsidRDefault="00C4365D" w:rsidP="0035146F">
            <w:pPr>
              <w:pStyle w:val="KeinLeerraum"/>
            </w:pPr>
            <w:r>
              <w:t>2.2</w:t>
            </w:r>
          </w:p>
        </w:tc>
        <w:tc>
          <w:tcPr>
            <w:tcW w:w="5529" w:type="dxa"/>
          </w:tcPr>
          <w:p w:rsidR="00C4365D" w:rsidRDefault="00C4365D" w:rsidP="0035146F">
            <w:pPr>
              <w:pStyle w:val="KeinLeerraum"/>
            </w:pPr>
            <w:r>
              <w:t>Abstimmung innerhalb des VDDS</w:t>
            </w:r>
          </w:p>
        </w:tc>
        <w:tc>
          <w:tcPr>
            <w:tcW w:w="1134" w:type="dxa"/>
          </w:tcPr>
          <w:p w:rsidR="00C4365D" w:rsidRDefault="00BD285C" w:rsidP="00BD285C">
            <w:pPr>
              <w:pStyle w:val="KeinLeerraum"/>
            </w:pPr>
            <w:r>
              <w:t>0</w:t>
            </w:r>
            <w:r w:rsidR="00C4365D">
              <w:t>1.0</w:t>
            </w:r>
            <w:r>
              <w:t>6</w:t>
            </w:r>
            <w:r w:rsidR="00C4365D">
              <w:t>.2012</w:t>
            </w:r>
          </w:p>
        </w:tc>
        <w:tc>
          <w:tcPr>
            <w:tcW w:w="1874" w:type="dxa"/>
          </w:tcPr>
          <w:p w:rsidR="00C4365D" w:rsidRDefault="00C4365D" w:rsidP="0035146F">
            <w:pPr>
              <w:pStyle w:val="KeinLeerraum"/>
            </w:pPr>
            <w:r>
              <w:t>Brand</w:t>
            </w:r>
          </w:p>
        </w:tc>
      </w:tr>
      <w:tr w:rsidR="00BD285C" w:rsidTr="00C4365D">
        <w:tc>
          <w:tcPr>
            <w:tcW w:w="675" w:type="dxa"/>
          </w:tcPr>
          <w:p w:rsidR="00C4365D" w:rsidRDefault="00C4365D" w:rsidP="0035146F">
            <w:pPr>
              <w:pStyle w:val="KeinLeerraum"/>
            </w:pPr>
            <w:r>
              <w:t>2.3</w:t>
            </w:r>
          </w:p>
        </w:tc>
        <w:tc>
          <w:tcPr>
            <w:tcW w:w="5529" w:type="dxa"/>
          </w:tcPr>
          <w:p w:rsidR="00C4365D" w:rsidRDefault="00C4365D" w:rsidP="0035146F">
            <w:pPr>
              <w:pStyle w:val="KeinLeerraum"/>
            </w:pPr>
            <w:r>
              <w:t>Abstimmung mit allen PVS-Herstellern und Laborsoftwareherstellern</w:t>
            </w:r>
          </w:p>
        </w:tc>
        <w:tc>
          <w:tcPr>
            <w:tcW w:w="1134" w:type="dxa"/>
          </w:tcPr>
          <w:p w:rsidR="00C4365D" w:rsidRDefault="00BD285C" w:rsidP="00BD285C">
            <w:pPr>
              <w:pStyle w:val="KeinLeerraum"/>
            </w:pPr>
            <w:r>
              <w:t>01</w:t>
            </w:r>
            <w:r w:rsidR="00C4365D">
              <w:t>.0</w:t>
            </w:r>
            <w:r>
              <w:t>6</w:t>
            </w:r>
            <w:r w:rsidR="00C4365D">
              <w:t>.2012</w:t>
            </w:r>
          </w:p>
        </w:tc>
        <w:tc>
          <w:tcPr>
            <w:tcW w:w="1874" w:type="dxa"/>
          </w:tcPr>
          <w:p w:rsidR="00C4365D" w:rsidRDefault="0059495D" w:rsidP="0035146F">
            <w:pPr>
              <w:pStyle w:val="KeinLeerraum"/>
            </w:pPr>
            <w:proofErr w:type="spellStart"/>
            <w:r>
              <w:t>Kieselnitzki</w:t>
            </w:r>
            <w:proofErr w:type="spellEnd"/>
            <w:r>
              <w:t xml:space="preserve">, </w:t>
            </w:r>
            <w:proofErr w:type="spellStart"/>
            <w:r>
              <w:t>Marschke</w:t>
            </w:r>
            <w:proofErr w:type="spellEnd"/>
            <w:r>
              <w:t>, Brand</w:t>
            </w:r>
          </w:p>
        </w:tc>
      </w:tr>
      <w:tr w:rsidR="00BD285C" w:rsidTr="00C4365D">
        <w:tc>
          <w:tcPr>
            <w:tcW w:w="675" w:type="dxa"/>
          </w:tcPr>
          <w:p w:rsidR="00C4365D" w:rsidRDefault="00C4365D" w:rsidP="0035146F">
            <w:pPr>
              <w:pStyle w:val="KeinLeerraum"/>
            </w:pPr>
            <w:r>
              <w:t>2.4</w:t>
            </w:r>
          </w:p>
        </w:tc>
        <w:tc>
          <w:tcPr>
            <w:tcW w:w="5529" w:type="dxa"/>
          </w:tcPr>
          <w:p w:rsidR="00C4365D" w:rsidRDefault="00C4365D" w:rsidP="0035146F">
            <w:pPr>
              <w:pStyle w:val="KeinLeerraum"/>
            </w:pPr>
            <w:r>
              <w:t>Überarbeitung der Dokumente von 1.2 bis 1.4 aufgrund eingehender Hinweise</w:t>
            </w:r>
          </w:p>
        </w:tc>
        <w:tc>
          <w:tcPr>
            <w:tcW w:w="1134" w:type="dxa"/>
          </w:tcPr>
          <w:p w:rsidR="00C4365D" w:rsidRDefault="00BD285C" w:rsidP="00BD285C">
            <w:pPr>
              <w:pStyle w:val="KeinLeerraum"/>
            </w:pPr>
            <w:r>
              <w:t>08</w:t>
            </w:r>
            <w:r w:rsidR="00C4365D">
              <w:t>.0</w:t>
            </w:r>
            <w:r>
              <w:t>6</w:t>
            </w:r>
            <w:r w:rsidR="00C4365D">
              <w:t>.2012</w:t>
            </w:r>
          </w:p>
        </w:tc>
        <w:tc>
          <w:tcPr>
            <w:tcW w:w="1874" w:type="dxa"/>
          </w:tcPr>
          <w:p w:rsidR="00C4365D" w:rsidRDefault="00C4365D" w:rsidP="0035146F">
            <w:pPr>
              <w:pStyle w:val="KeinLeerraum"/>
            </w:pPr>
            <w:proofErr w:type="spellStart"/>
            <w:r>
              <w:t>Kieselnitzki</w:t>
            </w:r>
            <w:proofErr w:type="spellEnd"/>
            <w:r>
              <w:t xml:space="preserve">, </w:t>
            </w:r>
            <w:proofErr w:type="spellStart"/>
            <w:r>
              <w:t>Marschke</w:t>
            </w:r>
            <w:proofErr w:type="spellEnd"/>
            <w:r>
              <w:t>, Brand</w:t>
            </w:r>
          </w:p>
        </w:tc>
      </w:tr>
      <w:tr w:rsidR="00BD285C" w:rsidTr="00C4365D">
        <w:tc>
          <w:tcPr>
            <w:tcW w:w="675" w:type="dxa"/>
          </w:tcPr>
          <w:p w:rsidR="00C4365D" w:rsidRDefault="00C4365D" w:rsidP="0035146F">
            <w:pPr>
              <w:pStyle w:val="KeinLeerraum"/>
            </w:pPr>
            <w:r>
              <w:t>2.5</w:t>
            </w:r>
          </w:p>
        </w:tc>
        <w:tc>
          <w:tcPr>
            <w:tcW w:w="5529" w:type="dxa"/>
          </w:tcPr>
          <w:p w:rsidR="00865B6E" w:rsidRDefault="00AC7384" w:rsidP="00AC7384">
            <w:pPr>
              <w:pStyle w:val="KeinLeerraum"/>
            </w:pPr>
            <w:r>
              <w:t xml:space="preserve">Freigabe der neuen XSD-Version auf Basis der abgestimmten Dokumentation zur Entwicklung </w:t>
            </w:r>
          </w:p>
        </w:tc>
        <w:tc>
          <w:tcPr>
            <w:tcW w:w="1134" w:type="dxa"/>
          </w:tcPr>
          <w:p w:rsidR="00C4365D" w:rsidRDefault="00AC7384" w:rsidP="00BD285C">
            <w:pPr>
              <w:pStyle w:val="KeinLeerraum"/>
            </w:pPr>
            <w:r>
              <w:t>0</w:t>
            </w:r>
            <w:r w:rsidR="00BD285C">
              <w:t>8</w:t>
            </w:r>
            <w:r>
              <w:t>.0</w:t>
            </w:r>
            <w:r w:rsidR="00BD285C">
              <w:t>6</w:t>
            </w:r>
            <w:r>
              <w:t>.2012</w:t>
            </w:r>
          </w:p>
        </w:tc>
        <w:tc>
          <w:tcPr>
            <w:tcW w:w="1874" w:type="dxa"/>
          </w:tcPr>
          <w:p w:rsidR="00C4365D" w:rsidRDefault="00AC7384" w:rsidP="0035146F">
            <w:pPr>
              <w:pStyle w:val="KeinLeerraum"/>
            </w:pPr>
            <w:proofErr w:type="spellStart"/>
            <w:r>
              <w:t>Kieselnitzki</w:t>
            </w:r>
            <w:proofErr w:type="spellEnd"/>
            <w:r>
              <w:t xml:space="preserve">, </w:t>
            </w:r>
            <w:proofErr w:type="spellStart"/>
            <w:r>
              <w:t>Marschke</w:t>
            </w:r>
            <w:proofErr w:type="spellEnd"/>
            <w:r>
              <w:t>, Brand</w:t>
            </w:r>
          </w:p>
        </w:tc>
      </w:tr>
      <w:tr w:rsidR="00BD285C" w:rsidTr="00C4365D">
        <w:tc>
          <w:tcPr>
            <w:tcW w:w="675" w:type="dxa"/>
          </w:tcPr>
          <w:p w:rsidR="00AC7384" w:rsidRDefault="00AC7384" w:rsidP="0035146F">
            <w:pPr>
              <w:pStyle w:val="KeinLeerraum"/>
            </w:pPr>
            <w:r>
              <w:t>2.6</w:t>
            </w:r>
          </w:p>
        </w:tc>
        <w:tc>
          <w:tcPr>
            <w:tcW w:w="5529" w:type="dxa"/>
          </w:tcPr>
          <w:p w:rsidR="00AC7384" w:rsidRDefault="00AC7384" w:rsidP="00AC7384">
            <w:pPr>
              <w:pStyle w:val="KeinLeerraum"/>
            </w:pPr>
            <w:r>
              <w:t>Festlegung der Termine für Phase 3 und 4</w:t>
            </w:r>
          </w:p>
        </w:tc>
        <w:tc>
          <w:tcPr>
            <w:tcW w:w="1134" w:type="dxa"/>
          </w:tcPr>
          <w:p w:rsidR="00AC7384" w:rsidRDefault="00AC7384" w:rsidP="00BD285C">
            <w:pPr>
              <w:pStyle w:val="KeinLeerraum"/>
            </w:pPr>
            <w:r>
              <w:t>0</w:t>
            </w:r>
            <w:r w:rsidR="00BD285C">
              <w:t>8</w:t>
            </w:r>
            <w:r>
              <w:t>.0</w:t>
            </w:r>
            <w:r w:rsidR="00BD285C">
              <w:t>6</w:t>
            </w:r>
            <w:r>
              <w:t>.2012</w:t>
            </w:r>
          </w:p>
        </w:tc>
        <w:tc>
          <w:tcPr>
            <w:tcW w:w="1874" w:type="dxa"/>
          </w:tcPr>
          <w:p w:rsidR="00AC7384" w:rsidRDefault="00AC7384" w:rsidP="0035146F">
            <w:pPr>
              <w:pStyle w:val="KeinLeerraum"/>
            </w:pPr>
            <w:proofErr w:type="spellStart"/>
            <w:r>
              <w:t>Kieselnitzki</w:t>
            </w:r>
            <w:proofErr w:type="spellEnd"/>
            <w:r>
              <w:t xml:space="preserve">, </w:t>
            </w:r>
            <w:proofErr w:type="spellStart"/>
            <w:r>
              <w:t>Marschke</w:t>
            </w:r>
            <w:proofErr w:type="spellEnd"/>
            <w:r>
              <w:t>, Brand</w:t>
            </w:r>
          </w:p>
        </w:tc>
      </w:tr>
      <w:tr w:rsidR="00BD285C" w:rsidTr="00C4365D">
        <w:tc>
          <w:tcPr>
            <w:tcW w:w="675" w:type="dxa"/>
          </w:tcPr>
          <w:p w:rsidR="00865B6E" w:rsidRDefault="00865B6E" w:rsidP="0035146F">
            <w:pPr>
              <w:pStyle w:val="KeinLeerraum"/>
            </w:pPr>
            <w:r>
              <w:t>2.7</w:t>
            </w:r>
          </w:p>
        </w:tc>
        <w:tc>
          <w:tcPr>
            <w:tcW w:w="5529" w:type="dxa"/>
          </w:tcPr>
          <w:p w:rsidR="00865B6E" w:rsidRDefault="00865B6E" w:rsidP="00865B6E">
            <w:pPr>
              <w:pStyle w:val="KeinLeerraum"/>
            </w:pPr>
            <w:r>
              <w:t>Veröffentlichung der neuen XSD-Version inklusive der Termine von Phase 3 und 4</w:t>
            </w:r>
          </w:p>
          <w:p w:rsidR="00184D20" w:rsidRDefault="00184D20" w:rsidP="00865B6E">
            <w:pPr>
              <w:pStyle w:val="KeinLeerraum"/>
            </w:pPr>
          </w:p>
          <w:p w:rsidR="00184D20" w:rsidRDefault="00184D20" w:rsidP="00184D20">
            <w:pPr>
              <w:pStyle w:val="KeinLeerraum"/>
            </w:pPr>
            <w:r>
              <w:t>Wichtig: Hinweis an alle Beteiligten, dass die Testversion nicht sofort produktiv ausgerollt wird.</w:t>
            </w:r>
          </w:p>
        </w:tc>
        <w:tc>
          <w:tcPr>
            <w:tcW w:w="1134" w:type="dxa"/>
          </w:tcPr>
          <w:p w:rsidR="00865B6E" w:rsidRDefault="00865B6E" w:rsidP="00BD285C">
            <w:pPr>
              <w:pStyle w:val="KeinLeerraum"/>
            </w:pPr>
            <w:r>
              <w:t>0</w:t>
            </w:r>
            <w:r w:rsidR="00BD285C">
              <w:t>8</w:t>
            </w:r>
            <w:r>
              <w:t>.0</w:t>
            </w:r>
            <w:r w:rsidR="00BD285C">
              <w:t>6</w:t>
            </w:r>
            <w:r>
              <w:t>.3012</w:t>
            </w:r>
          </w:p>
        </w:tc>
        <w:tc>
          <w:tcPr>
            <w:tcW w:w="1874" w:type="dxa"/>
          </w:tcPr>
          <w:p w:rsidR="00865B6E" w:rsidRDefault="00865B6E" w:rsidP="0035146F">
            <w:pPr>
              <w:pStyle w:val="KeinLeerraum"/>
            </w:pPr>
            <w:proofErr w:type="spellStart"/>
            <w:r>
              <w:t>Kieselnitzki</w:t>
            </w:r>
            <w:proofErr w:type="spellEnd"/>
            <w:r>
              <w:t xml:space="preserve">, </w:t>
            </w:r>
            <w:proofErr w:type="spellStart"/>
            <w:r>
              <w:t>Marschke</w:t>
            </w:r>
            <w:proofErr w:type="spellEnd"/>
            <w:r>
              <w:t>, Brand</w:t>
            </w:r>
          </w:p>
        </w:tc>
      </w:tr>
    </w:tbl>
    <w:p w:rsidR="00C4365D" w:rsidRDefault="00C4365D" w:rsidP="00C4365D">
      <w:pPr>
        <w:pStyle w:val="KeinLeerraum"/>
      </w:pPr>
    </w:p>
    <w:p w:rsidR="00C4365D" w:rsidRDefault="00C4365D" w:rsidP="00C4365D">
      <w:pPr>
        <w:pStyle w:val="KeinLeerraum"/>
      </w:pPr>
    </w:p>
    <w:p w:rsidR="00CA76D4" w:rsidRDefault="00CA76D4" w:rsidP="00C4365D">
      <w:pPr>
        <w:pStyle w:val="KeinLeerraum"/>
      </w:pPr>
    </w:p>
    <w:p w:rsidR="00CA76D4" w:rsidRDefault="00CA76D4" w:rsidP="00C4365D">
      <w:pPr>
        <w:pStyle w:val="KeinLeerraum"/>
      </w:pPr>
    </w:p>
    <w:p w:rsidR="00CA76D4" w:rsidRDefault="00CA76D4" w:rsidP="00C4365D">
      <w:pPr>
        <w:pStyle w:val="KeinLeerraum"/>
      </w:pPr>
      <w:bookmarkStart w:id="2" w:name="_GoBack"/>
      <w:bookmarkEnd w:id="2"/>
    </w:p>
    <w:p w:rsidR="00C4365D" w:rsidRDefault="00C4365D" w:rsidP="00C4365D">
      <w:pPr>
        <w:pStyle w:val="KeinLeerraum"/>
      </w:pPr>
      <w:r>
        <w:lastRenderedPageBreak/>
        <w:t>Phase 3 – Test</w:t>
      </w:r>
    </w:p>
    <w:p w:rsidR="00C4365D" w:rsidRDefault="00C4365D" w:rsidP="00C4365D">
      <w:pPr>
        <w:pStyle w:val="KeinLeerraum"/>
      </w:pPr>
    </w:p>
    <w:tbl>
      <w:tblPr>
        <w:tblStyle w:val="Tabellenraster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674"/>
        <w:gridCol w:w="5521"/>
        <w:gridCol w:w="1220"/>
        <w:gridCol w:w="1873"/>
      </w:tblGrid>
      <w:tr w:rsidR="00C4365D" w:rsidTr="00C4365D">
        <w:tc>
          <w:tcPr>
            <w:tcW w:w="675" w:type="dxa"/>
            <w:shd w:val="clear" w:color="auto" w:fill="EAF1DD" w:themeFill="accent3" w:themeFillTint="33"/>
          </w:tcPr>
          <w:p w:rsidR="00C4365D" w:rsidRDefault="00C4365D" w:rsidP="0035146F">
            <w:pPr>
              <w:pStyle w:val="KeinLeerraum"/>
            </w:pPr>
            <w:r>
              <w:t>Nr.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C4365D" w:rsidRDefault="00C4365D" w:rsidP="0035146F">
            <w:pPr>
              <w:pStyle w:val="KeinLeerraum"/>
            </w:pPr>
            <w:r>
              <w:t>Inhalt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C4365D" w:rsidRDefault="00C4365D" w:rsidP="0035146F">
            <w:pPr>
              <w:pStyle w:val="KeinLeerraum"/>
            </w:pPr>
            <w:r>
              <w:t>Termin</w:t>
            </w:r>
          </w:p>
        </w:tc>
        <w:tc>
          <w:tcPr>
            <w:tcW w:w="1874" w:type="dxa"/>
            <w:shd w:val="clear" w:color="auto" w:fill="EAF1DD" w:themeFill="accent3" w:themeFillTint="33"/>
          </w:tcPr>
          <w:p w:rsidR="00C4365D" w:rsidRDefault="00C4365D" w:rsidP="0035146F">
            <w:pPr>
              <w:pStyle w:val="KeinLeerraum"/>
            </w:pPr>
            <w:r>
              <w:t>Verantwortlich</w:t>
            </w:r>
          </w:p>
        </w:tc>
      </w:tr>
      <w:tr w:rsidR="00C4365D" w:rsidTr="0035146F">
        <w:tc>
          <w:tcPr>
            <w:tcW w:w="9212" w:type="dxa"/>
            <w:gridSpan w:val="4"/>
          </w:tcPr>
          <w:p w:rsidR="00C4365D" w:rsidRPr="00C4365D" w:rsidRDefault="00C4365D" w:rsidP="0035146F">
            <w:pPr>
              <w:pStyle w:val="KeinLeerraum"/>
              <w:rPr>
                <w:sz w:val="10"/>
                <w:szCs w:val="10"/>
              </w:rPr>
            </w:pPr>
          </w:p>
        </w:tc>
      </w:tr>
      <w:tr w:rsidR="00C4365D" w:rsidTr="00C4365D">
        <w:tc>
          <w:tcPr>
            <w:tcW w:w="675" w:type="dxa"/>
          </w:tcPr>
          <w:p w:rsidR="00C4365D" w:rsidRDefault="00AC7384" w:rsidP="0035146F">
            <w:pPr>
              <w:pStyle w:val="KeinLeerraum"/>
            </w:pPr>
            <w:r>
              <w:t>3</w:t>
            </w:r>
            <w:r w:rsidR="00C4365D">
              <w:t>.1</w:t>
            </w:r>
          </w:p>
        </w:tc>
        <w:tc>
          <w:tcPr>
            <w:tcW w:w="5529" w:type="dxa"/>
          </w:tcPr>
          <w:p w:rsidR="00C4365D" w:rsidRDefault="00AC7384" w:rsidP="00AC7384">
            <w:pPr>
              <w:pStyle w:val="KeinLeerraum"/>
            </w:pPr>
            <w:r>
              <w:t>Bereitstellung des VDDS-XML-Testtools für die neue Version</w:t>
            </w:r>
          </w:p>
        </w:tc>
        <w:tc>
          <w:tcPr>
            <w:tcW w:w="1134" w:type="dxa"/>
          </w:tcPr>
          <w:p w:rsidR="00C4365D" w:rsidRDefault="00FA6767" w:rsidP="00FA6767">
            <w:pPr>
              <w:pStyle w:val="KeinLeerraum"/>
            </w:pPr>
            <w:r>
              <w:t>1</w:t>
            </w:r>
            <w:r w:rsidR="00BD285C">
              <w:t>8</w:t>
            </w:r>
            <w:r w:rsidR="00AC7384">
              <w:t>.0</w:t>
            </w:r>
            <w:r>
              <w:t>5</w:t>
            </w:r>
            <w:r w:rsidR="00AC7384">
              <w:t>.2012</w:t>
            </w:r>
          </w:p>
        </w:tc>
        <w:tc>
          <w:tcPr>
            <w:tcW w:w="1874" w:type="dxa"/>
          </w:tcPr>
          <w:p w:rsidR="00C4365D" w:rsidRDefault="00AC7384" w:rsidP="0035146F">
            <w:pPr>
              <w:pStyle w:val="KeinLeerraum"/>
            </w:pPr>
            <w:r>
              <w:t>Brand</w:t>
            </w:r>
          </w:p>
        </w:tc>
      </w:tr>
      <w:tr w:rsidR="00AC7384" w:rsidTr="00C4365D">
        <w:tc>
          <w:tcPr>
            <w:tcW w:w="675" w:type="dxa"/>
          </w:tcPr>
          <w:p w:rsidR="00AC7384" w:rsidRDefault="00AC7384" w:rsidP="0035146F">
            <w:pPr>
              <w:pStyle w:val="KeinLeerraum"/>
            </w:pPr>
            <w:r>
              <w:t>3.2</w:t>
            </w:r>
          </w:p>
        </w:tc>
        <w:tc>
          <w:tcPr>
            <w:tcW w:w="5529" w:type="dxa"/>
          </w:tcPr>
          <w:p w:rsidR="00AC7384" w:rsidRDefault="00AC7384" w:rsidP="00AC7384">
            <w:pPr>
              <w:pStyle w:val="KeinLeerraum"/>
            </w:pPr>
            <w:r>
              <w:t>Bereitstellung der Austauschplattform auf den VDDS Webseiten für:</w:t>
            </w:r>
          </w:p>
          <w:p w:rsidR="00AC7384" w:rsidRDefault="00AC7384" w:rsidP="00AC7384">
            <w:pPr>
              <w:pStyle w:val="KeinLeerraum"/>
              <w:numPr>
                <w:ilvl w:val="0"/>
                <w:numId w:val="6"/>
              </w:numPr>
            </w:pPr>
            <w:r>
              <w:t>Auftragsnummern der Praxissoftwarehersteller</w:t>
            </w:r>
          </w:p>
          <w:p w:rsidR="00AC7384" w:rsidRDefault="00AC7384" w:rsidP="00AC7384">
            <w:pPr>
              <w:pStyle w:val="KeinLeerraum"/>
              <w:numPr>
                <w:ilvl w:val="0"/>
                <w:numId w:val="6"/>
              </w:numPr>
            </w:pPr>
            <w:r>
              <w:t>Test-XML-Dateien der Laborsoftwarehersteller (existiert bereits, muss für neue Version angepasst werden)</w:t>
            </w:r>
          </w:p>
        </w:tc>
        <w:tc>
          <w:tcPr>
            <w:tcW w:w="1134" w:type="dxa"/>
          </w:tcPr>
          <w:p w:rsidR="00AC7384" w:rsidRDefault="00BD285C" w:rsidP="00BD285C">
            <w:pPr>
              <w:pStyle w:val="KeinLeerraum"/>
            </w:pPr>
            <w:r>
              <w:t>08</w:t>
            </w:r>
            <w:r w:rsidR="00AC7384">
              <w:t>.0</w:t>
            </w:r>
            <w:r>
              <w:t>6</w:t>
            </w:r>
            <w:r w:rsidR="00AC7384">
              <w:t>.2012</w:t>
            </w:r>
          </w:p>
        </w:tc>
        <w:tc>
          <w:tcPr>
            <w:tcW w:w="1874" w:type="dxa"/>
          </w:tcPr>
          <w:p w:rsidR="00AC7384" w:rsidRDefault="00AC7384" w:rsidP="0035146F">
            <w:pPr>
              <w:pStyle w:val="KeinLeerraum"/>
            </w:pPr>
            <w:r>
              <w:t>Brand</w:t>
            </w:r>
          </w:p>
        </w:tc>
      </w:tr>
      <w:tr w:rsidR="00AC7384" w:rsidTr="00C4365D">
        <w:tc>
          <w:tcPr>
            <w:tcW w:w="675" w:type="dxa"/>
          </w:tcPr>
          <w:p w:rsidR="00AC7384" w:rsidRDefault="00AC7384" w:rsidP="0035146F">
            <w:pPr>
              <w:pStyle w:val="KeinLeerraum"/>
            </w:pPr>
            <w:r>
              <w:t>3.3</w:t>
            </w:r>
          </w:p>
        </w:tc>
        <w:tc>
          <w:tcPr>
            <w:tcW w:w="5529" w:type="dxa"/>
          </w:tcPr>
          <w:p w:rsidR="00AC7384" w:rsidRDefault="00AC7384" w:rsidP="00AC7384">
            <w:pPr>
              <w:pStyle w:val="KeinLeerraum"/>
            </w:pPr>
            <w:r>
              <w:t>Durchführung eines Testworkshops zwischen Labor- und Praxissoftwareherstellern.</w:t>
            </w:r>
          </w:p>
        </w:tc>
        <w:tc>
          <w:tcPr>
            <w:tcW w:w="1134" w:type="dxa"/>
          </w:tcPr>
          <w:p w:rsidR="00AC7384" w:rsidRDefault="00AC7384" w:rsidP="0035146F">
            <w:pPr>
              <w:pStyle w:val="KeinLeerraum"/>
            </w:pPr>
          </w:p>
        </w:tc>
        <w:tc>
          <w:tcPr>
            <w:tcW w:w="1874" w:type="dxa"/>
          </w:tcPr>
          <w:p w:rsidR="00AC7384" w:rsidRDefault="00AC7384" w:rsidP="0035146F">
            <w:pPr>
              <w:pStyle w:val="KeinLeerraum"/>
            </w:pPr>
            <w:proofErr w:type="spellStart"/>
            <w:r>
              <w:t>Marschke</w:t>
            </w:r>
            <w:proofErr w:type="spellEnd"/>
            <w:r>
              <w:t>, Brand</w:t>
            </w:r>
          </w:p>
        </w:tc>
      </w:tr>
      <w:tr w:rsidR="00AC7384" w:rsidTr="00C4365D">
        <w:tc>
          <w:tcPr>
            <w:tcW w:w="675" w:type="dxa"/>
          </w:tcPr>
          <w:p w:rsidR="00AC7384" w:rsidRDefault="00AC7384" w:rsidP="0035146F">
            <w:pPr>
              <w:pStyle w:val="KeinLeerraum"/>
            </w:pPr>
            <w:r>
              <w:t>3.4</w:t>
            </w:r>
          </w:p>
        </w:tc>
        <w:tc>
          <w:tcPr>
            <w:tcW w:w="5529" w:type="dxa"/>
          </w:tcPr>
          <w:p w:rsidR="00AC7384" w:rsidRDefault="00AC7384" w:rsidP="00AC7384">
            <w:pPr>
              <w:pStyle w:val="KeinLeerraum"/>
            </w:pPr>
            <w:r>
              <w:t>Feldtest</w:t>
            </w:r>
          </w:p>
          <w:p w:rsidR="00AC7384" w:rsidRDefault="00AC7384" w:rsidP="00AC7384">
            <w:pPr>
              <w:pStyle w:val="KeinLeerraum"/>
              <w:numPr>
                <w:ilvl w:val="0"/>
                <w:numId w:val="7"/>
              </w:numPr>
            </w:pPr>
            <w:r>
              <w:t>Ausgewählte Region</w:t>
            </w:r>
          </w:p>
          <w:p w:rsidR="00AC7384" w:rsidRDefault="00AC7384" w:rsidP="00AC7384">
            <w:pPr>
              <w:pStyle w:val="KeinLeerraum"/>
              <w:numPr>
                <w:ilvl w:val="0"/>
                <w:numId w:val="7"/>
              </w:numPr>
            </w:pPr>
            <w:r>
              <w:t>Ausgewählte Laborsoftware</w:t>
            </w:r>
          </w:p>
          <w:p w:rsidR="00AC7384" w:rsidRDefault="00AC7384" w:rsidP="00AC7384">
            <w:pPr>
              <w:pStyle w:val="KeinLeerraum"/>
              <w:numPr>
                <w:ilvl w:val="0"/>
                <w:numId w:val="7"/>
              </w:numPr>
            </w:pPr>
            <w:r>
              <w:t>Ausgewählte Praxissoftware</w:t>
            </w:r>
          </w:p>
        </w:tc>
        <w:tc>
          <w:tcPr>
            <w:tcW w:w="1134" w:type="dxa"/>
          </w:tcPr>
          <w:p w:rsidR="00AC7384" w:rsidRDefault="00AC7384" w:rsidP="0035146F">
            <w:pPr>
              <w:pStyle w:val="KeinLeerraum"/>
            </w:pPr>
          </w:p>
        </w:tc>
        <w:tc>
          <w:tcPr>
            <w:tcW w:w="1874" w:type="dxa"/>
          </w:tcPr>
          <w:p w:rsidR="00AC7384" w:rsidRDefault="00AC7384" w:rsidP="0035146F">
            <w:pPr>
              <w:pStyle w:val="KeinLeerraum"/>
            </w:pPr>
          </w:p>
        </w:tc>
      </w:tr>
    </w:tbl>
    <w:p w:rsidR="00C4365D" w:rsidRDefault="00C4365D" w:rsidP="00C4365D">
      <w:pPr>
        <w:pStyle w:val="KeinLeerraum"/>
      </w:pPr>
    </w:p>
    <w:p w:rsidR="00C4365D" w:rsidRDefault="00C4365D" w:rsidP="00C4365D">
      <w:pPr>
        <w:pStyle w:val="KeinLeerraum"/>
      </w:pPr>
    </w:p>
    <w:p w:rsidR="00C4365D" w:rsidRDefault="00C4365D" w:rsidP="00C4365D">
      <w:pPr>
        <w:pStyle w:val="KeinLeerraum"/>
      </w:pPr>
      <w:r>
        <w:t>Phase 4 – Roll-Out</w:t>
      </w:r>
    </w:p>
    <w:p w:rsidR="00C4365D" w:rsidRDefault="00C4365D" w:rsidP="00C4365D">
      <w:pPr>
        <w:pStyle w:val="KeinLeerraum"/>
      </w:pPr>
    </w:p>
    <w:tbl>
      <w:tblPr>
        <w:tblStyle w:val="Tabellenraster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675"/>
        <w:gridCol w:w="5529"/>
        <w:gridCol w:w="1134"/>
        <w:gridCol w:w="1874"/>
      </w:tblGrid>
      <w:tr w:rsidR="00C4365D" w:rsidTr="00C4365D">
        <w:tc>
          <w:tcPr>
            <w:tcW w:w="675" w:type="dxa"/>
            <w:shd w:val="clear" w:color="auto" w:fill="EAF1DD" w:themeFill="accent3" w:themeFillTint="33"/>
          </w:tcPr>
          <w:p w:rsidR="00C4365D" w:rsidRDefault="00C4365D" w:rsidP="0035146F">
            <w:pPr>
              <w:pStyle w:val="KeinLeerraum"/>
            </w:pPr>
            <w:r>
              <w:t>Nr.</w:t>
            </w:r>
          </w:p>
        </w:tc>
        <w:tc>
          <w:tcPr>
            <w:tcW w:w="5529" w:type="dxa"/>
            <w:shd w:val="clear" w:color="auto" w:fill="EAF1DD" w:themeFill="accent3" w:themeFillTint="33"/>
          </w:tcPr>
          <w:p w:rsidR="00C4365D" w:rsidRDefault="00C4365D" w:rsidP="0035146F">
            <w:pPr>
              <w:pStyle w:val="KeinLeerraum"/>
            </w:pPr>
            <w:r>
              <w:t>Inhalt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C4365D" w:rsidRDefault="00C4365D" w:rsidP="0035146F">
            <w:pPr>
              <w:pStyle w:val="KeinLeerraum"/>
            </w:pPr>
            <w:r>
              <w:t>Termin</w:t>
            </w:r>
          </w:p>
        </w:tc>
        <w:tc>
          <w:tcPr>
            <w:tcW w:w="1874" w:type="dxa"/>
            <w:shd w:val="clear" w:color="auto" w:fill="EAF1DD" w:themeFill="accent3" w:themeFillTint="33"/>
          </w:tcPr>
          <w:p w:rsidR="00C4365D" w:rsidRDefault="00C4365D" w:rsidP="0035146F">
            <w:pPr>
              <w:pStyle w:val="KeinLeerraum"/>
            </w:pPr>
            <w:r>
              <w:t>Verantwortlich</w:t>
            </w:r>
          </w:p>
        </w:tc>
      </w:tr>
      <w:tr w:rsidR="00C4365D" w:rsidTr="0035146F">
        <w:tc>
          <w:tcPr>
            <w:tcW w:w="9212" w:type="dxa"/>
            <w:gridSpan w:val="4"/>
          </w:tcPr>
          <w:p w:rsidR="00C4365D" w:rsidRPr="00C4365D" w:rsidRDefault="00C4365D" w:rsidP="0035146F">
            <w:pPr>
              <w:pStyle w:val="KeinLeerraum"/>
              <w:rPr>
                <w:sz w:val="10"/>
                <w:szCs w:val="10"/>
              </w:rPr>
            </w:pPr>
          </w:p>
        </w:tc>
      </w:tr>
      <w:tr w:rsidR="00C4365D" w:rsidTr="00C4365D">
        <w:tc>
          <w:tcPr>
            <w:tcW w:w="675" w:type="dxa"/>
          </w:tcPr>
          <w:p w:rsidR="00C4365D" w:rsidRDefault="00AC7384" w:rsidP="0035146F">
            <w:pPr>
              <w:pStyle w:val="KeinLeerraum"/>
            </w:pPr>
            <w:r>
              <w:t>4</w:t>
            </w:r>
            <w:r w:rsidR="00C4365D">
              <w:t>.1</w:t>
            </w:r>
          </w:p>
        </w:tc>
        <w:tc>
          <w:tcPr>
            <w:tcW w:w="5529" w:type="dxa"/>
          </w:tcPr>
          <w:p w:rsidR="00C4365D" w:rsidRDefault="00AC7384" w:rsidP="00AC7384">
            <w:pPr>
              <w:pStyle w:val="KeinLeerraum"/>
            </w:pPr>
            <w:r>
              <w:t>Festlegung des Termins, bis wann die Praxissoftwarehersteller das Update spätestens bereitgestellt haben müssen.</w:t>
            </w:r>
          </w:p>
        </w:tc>
        <w:tc>
          <w:tcPr>
            <w:tcW w:w="1134" w:type="dxa"/>
          </w:tcPr>
          <w:p w:rsidR="00C4365D" w:rsidRDefault="00C4365D" w:rsidP="0035146F">
            <w:pPr>
              <w:pStyle w:val="KeinLeerraum"/>
            </w:pPr>
          </w:p>
        </w:tc>
        <w:tc>
          <w:tcPr>
            <w:tcW w:w="1874" w:type="dxa"/>
          </w:tcPr>
          <w:p w:rsidR="00C4365D" w:rsidRDefault="00C4365D" w:rsidP="0035146F">
            <w:pPr>
              <w:pStyle w:val="KeinLeerraum"/>
            </w:pPr>
          </w:p>
        </w:tc>
      </w:tr>
      <w:tr w:rsidR="00AC7384" w:rsidTr="00C4365D">
        <w:tc>
          <w:tcPr>
            <w:tcW w:w="675" w:type="dxa"/>
          </w:tcPr>
          <w:p w:rsidR="00AC7384" w:rsidRDefault="00AC7384" w:rsidP="0035146F">
            <w:pPr>
              <w:pStyle w:val="KeinLeerraum"/>
            </w:pPr>
            <w:r>
              <w:t>4.2</w:t>
            </w:r>
          </w:p>
        </w:tc>
        <w:tc>
          <w:tcPr>
            <w:tcW w:w="5529" w:type="dxa"/>
          </w:tcPr>
          <w:p w:rsidR="00AC7384" w:rsidRDefault="00AC7384" w:rsidP="00AC7384">
            <w:pPr>
              <w:pStyle w:val="KeinLeerraum"/>
            </w:pPr>
            <w:r>
              <w:t>Festlegung, ab wann die Laborsoftwarehersteller die neue Version ausrollen dürfen.</w:t>
            </w:r>
          </w:p>
        </w:tc>
        <w:tc>
          <w:tcPr>
            <w:tcW w:w="1134" w:type="dxa"/>
          </w:tcPr>
          <w:p w:rsidR="00AC7384" w:rsidRDefault="00AC7384" w:rsidP="0035146F">
            <w:pPr>
              <w:pStyle w:val="KeinLeerraum"/>
            </w:pPr>
          </w:p>
        </w:tc>
        <w:tc>
          <w:tcPr>
            <w:tcW w:w="1874" w:type="dxa"/>
          </w:tcPr>
          <w:p w:rsidR="00AC7384" w:rsidRDefault="00AC7384" w:rsidP="0035146F">
            <w:pPr>
              <w:pStyle w:val="KeinLeerraum"/>
            </w:pPr>
          </w:p>
        </w:tc>
      </w:tr>
      <w:tr w:rsidR="00865B6E" w:rsidTr="00C4365D">
        <w:tc>
          <w:tcPr>
            <w:tcW w:w="675" w:type="dxa"/>
          </w:tcPr>
          <w:p w:rsidR="00865B6E" w:rsidRDefault="00865B6E" w:rsidP="0035146F">
            <w:pPr>
              <w:pStyle w:val="KeinLeerraum"/>
            </w:pPr>
            <w:r>
              <w:t>4.3</w:t>
            </w:r>
          </w:p>
        </w:tc>
        <w:tc>
          <w:tcPr>
            <w:tcW w:w="5529" w:type="dxa"/>
          </w:tcPr>
          <w:p w:rsidR="00865B6E" w:rsidRDefault="00865B6E" w:rsidP="00AC7384">
            <w:pPr>
              <w:pStyle w:val="KeinLeerraum"/>
            </w:pPr>
            <w:r>
              <w:t>Festlegung, ab wann Auftragsnummern im alten Format nicht mehr geliefert werden dürfen.</w:t>
            </w:r>
          </w:p>
        </w:tc>
        <w:tc>
          <w:tcPr>
            <w:tcW w:w="1134" w:type="dxa"/>
          </w:tcPr>
          <w:p w:rsidR="00865B6E" w:rsidRDefault="00865B6E" w:rsidP="0035146F">
            <w:pPr>
              <w:pStyle w:val="KeinLeerraum"/>
            </w:pPr>
          </w:p>
        </w:tc>
        <w:tc>
          <w:tcPr>
            <w:tcW w:w="1874" w:type="dxa"/>
          </w:tcPr>
          <w:p w:rsidR="00865B6E" w:rsidRDefault="00865B6E" w:rsidP="0035146F">
            <w:pPr>
              <w:pStyle w:val="KeinLeerraum"/>
            </w:pPr>
          </w:p>
        </w:tc>
      </w:tr>
      <w:bookmarkEnd w:id="0"/>
      <w:bookmarkEnd w:id="1"/>
    </w:tbl>
    <w:p w:rsidR="00C4365D" w:rsidRDefault="00C4365D" w:rsidP="00C4365D">
      <w:pPr>
        <w:pStyle w:val="KeinLeerraum"/>
      </w:pPr>
    </w:p>
    <w:sectPr w:rsidR="00C4365D" w:rsidSect="00D74D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D15" w:rsidRDefault="00DB1D15" w:rsidP="00D47492">
      <w:pPr>
        <w:spacing w:after="0" w:line="240" w:lineRule="auto"/>
      </w:pPr>
      <w:r>
        <w:separator/>
      </w:r>
    </w:p>
  </w:endnote>
  <w:endnote w:type="continuationSeparator" w:id="0">
    <w:p w:rsidR="00DB1D15" w:rsidRDefault="00DB1D15" w:rsidP="00D47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1F2" w:rsidRDefault="006071F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492" w:rsidRDefault="00D47492" w:rsidP="00D47492">
    <w:pPr>
      <w:pStyle w:val="Fuzeile"/>
      <w:pBdr>
        <w:top w:val="single" w:sz="4" w:space="1" w:color="auto"/>
      </w:pBdr>
      <w:tabs>
        <w:tab w:val="clear" w:pos="4536"/>
      </w:tabs>
    </w:pPr>
    <w:r>
      <w:tab/>
      <w:t xml:space="preserve">Seite </w:t>
    </w:r>
    <w:r w:rsidR="00327E94">
      <w:fldChar w:fldCharType="begin"/>
    </w:r>
    <w:r>
      <w:instrText xml:space="preserve"> PAGE   \* MERGEFORMAT </w:instrText>
    </w:r>
    <w:r w:rsidR="00327E94">
      <w:fldChar w:fldCharType="separate"/>
    </w:r>
    <w:r w:rsidR="00CA76D4">
      <w:rPr>
        <w:noProof/>
      </w:rPr>
      <w:t>2</w:t>
    </w:r>
    <w:r w:rsidR="00327E94">
      <w:fldChar w:fldCharType="end"/>
    </w:r>
    <w:r>
      <w:t xml:space="preserve"> von </w:t>
    </w:r>
    <w:r w:rsidR="00DB1D15">
      <w:fldChar w:fldCharType="begin"/>
    </w:r>
    <w:r w:rsidR="00DB1D15">
      <w:instrText xml:space="preserve"> NUMPAGES   \* MERGEFORMAT </w:instrText>
    </w:r>
    <w:r w:rsidR="00DB1D15">
      <w:fldChar w:fldCharType="separate"/>
    </w:r>
    <w:r w:rsidR="00CA76D4">
      <w:rPr>
        <w:noProof/>
      </w:rPr>
      <w:t>2</w:t>
    </w:r>
    <w:r w:rsidR="00DB1D15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8BC" w:rsidRDefault="00233A18" w:rsidP="00233A18">
    <w:pPr>
      <w:pStyle w:val="Fuzeile"/>
      <w:pBdr>
        <w:top w:val="single" w:sz="4" w:space="1" w:color="auto"/>
      </w:pBdr>
      <w:tabs>
        <w:tab w:val="clear" w:pos="4536"/>
      </w:tabs>
    </w:pPr>
    <w:r>
      <w:tab/>
      <w:t xml:space="preserve">Seite </w:t>
    </w:r>
    <w:r w:rsidR="00327E94">
      <w:fldChar w:fldCharType="begin"/>
    </w:r>
    <w:r>
      <w:instrText xml:space="preserve"> PAGE   \* MERGEFORMAT </w:instrText>
    </w:r>
    <w:r w:rsidR="00327E94">
      <w:fldChar w:fldCharType="separate"/>
    </w:r>
    <w:r w:rsidR="00CA76D4">
      <w:rPr>
        <w:noProof/>
      </w:rPr>
      <w:t>1</w:t>
    </w:r>
    <w:r w:rsidR="00327E94">
      <w:fldChar w:fldCharType="end"/>
    </w:r>
    <w:r>
      <w:t xml:space="preserve"> von </w:t>
    </w:r>
    <w:r w:rsidR="00DB1D15">
      <w:fldChar w:fldCharType="begin"/>
    </w:r>
    <w:r w:rsidR="00DB1D15">
      <w:instrText xml:space="preserve"> NUMPAGES   \* MERGEFORMAT </w:instrText>
    </w:r>
    <w:r w:rsidR="00DB1D15">
      <w:fldChar w:fldCharType="separate"/>
    </w:r>
    <w:r w:rsidR="00CA76D4">
      <w:rPr>
        <w:noProof/>
      </w:rPr>
      <w:t>2</w:t>
    </w:r>
    <w:r w:rsidR="00DB1D1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D15" w:rsidRDefault="00DB1D15" w:rsidP="00D47492">
      <w:pPr>
        <w:spacing w:after="0" w:line="240" w:lineRule="auto"/>
      </w:pPr>
      <w:r>
        <w:separator/>
      </w:r>
    </w:p>
  </w:footnote>
  <w:footnote w:type="continuationSeparator" w:id="0">
    <w:p w:rsidR="00DB1D15" w:rsidRDefault="00DB1D15" w:rsidP="00D47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1F2" w:rsidRDefault="006071F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50F" w:rsidRDefault="00A9550F" w:rsidP="00A9550F">
    <w:pPr>
      <w:pStyle w:val="Kopfzeile"/>
      <w:pBdr>
        <w:bottom w:val="single" w:sz="4" w:space="1" w:color="auto"/>
      </w:pBdr>
      <w:spacing w:after="1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DC2" w:rsidRDefault="003828B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1878330</wp:posOffset>
          </wp:positionH>
          <wp:positionV relativeFrom="paragraph">
            <wp:posOffset>-41275</wp:posOffset>
          </wp:positionV>
          <wp:extent cx="2220595" cy="723900"/>
          <wp:effectExtent l="0" t="0" r="8255" b="0"/>
          <wp:wrapTight wrapText="bothSides">
            <wp:wrapPolygon edited="0">
              <wp:start x="0" y="0"/>
              <wp:lineTo x="0" y="21032"/>
              <wp:lineTo x="21495" y="21032"/>
              <wp:lineTo x="21495" y="0"/>
              <wp:lineTo x="0" y="0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0595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9550F">
      <w:rPr>
        <w:noProof/>
        <w:lang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4009390</wp:posOffset>
          </wp:positionH>
          <wp:positionV relativeFrom="paragraph">
            <wp:posOffset>-170180</wp:posOffset>
          </wp:positionV>
          <wp:extent cx="2171065" cy="1058545"/>
          <wp:effectExtent l="0" t="0" r="635" b="8255"/>
          <wp:wrapTight wrapText="bothSides">
            <wp:wrapPolygon edited="0">
              <wp:start x="0" y="0"/>
              <wp:lineTo x="0" y="21380"/>
              <wp:lineTo x="21417" y="21380"/>
              <wp:lineTo x="21417" y="0"/>
              <wp:lineTo x="0" y="0"/>
            </wp:wrapPolygon>
          </wp:wrapTight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065" cy="1058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65A1D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-543560</wp:posOffset>
              </wp:positionH>
              <wp:positionV relativeFrom="paragraph">
                <wp:posOffset>-48895</wp:posOffset>
              </wp:positionV>
              <wp:extent cx="2436495" cy="1051560"/>
              <wp:effectExtent l="0" t="0" r="1905" b="0"/>
              <wp:wrapTopAndBottom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36495" cy="10515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10075" w:rsidRDefault="00810075" w:rsidP="00810075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noProof/>
                              <w:color w:val="808080"/>
                              <w:sz w:val="20"/>
                              <w:szCs w:val="20"/>
                              <w:lang w:eastAsia="de-DE"/>
                            </w:rPr>
                            <w:drawing>
                              <wp:inline distT="0" distB="0" distL="0" distR="0">
                                <wp:extent cx="1712518" cy="446132"/>
                                <wp:effectExtent l="0" t="0" r="2540" b="0"/>
                                <wp:docPr id="7" name="Grafik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713411" cy="4463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10075" w:rsidRPr="00810075" w:rsidRDefault="00810075" w:rsidP="00810075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810075">
                            <w:rPr>
                              <w:rFonts w:ascii="Arial" w:hAnsi="Arial" w:cs="Arial"/>
                              <w:b/>
                              <w:bCs/>
                              <w:color w:val="808080"/>
                              <w:sz w:val="18"/>
                              <w:szCs w:val="18"/>
                            </w:rPr>
                            <w:t>Kassenzahnärztliche Bundesvereinigung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42.8pt;margin-top:-3.85pt;width:191.85pt;height:82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" fillcolor="white [3201]" stroked="f" strokeweight=".5pt">
              <v:path arrowok="t"/>
              <v:textbox>
                <w:txbxContent>
                  <w:p w:rsidR="00810075" w:rsidRDefault="00810075" w:rsidP="00810075">
                    <w:pPr>
                      <w:jc w:val="center"/>
                      <w:rPr>
                        <w:rFonts w:ascii="Arial" w:hAnsi="Arial" w:cs="Arial"/>
                        <w:b/>
                        <w:bCs/>
                        <w:color w:val="808080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noProof/>
                        <w:color w:val="808080"/>
                        <w:sz w:val="20"/>
                        <w:szCs w:val="20"/>
                        <w:lang w:eastAsia="de-DE"/>
                      </w:rPr>
                      <w:drawing>
                        <wp:inline distT="0" distB="0" distL="0" distR="0">
                          <wp:extent cx="1712518" cy="446132"/>
                          <wp:effectExtent l="0" t="0" r="2540" b="0"/>
                          <wp:docPr id="7" name="Grafik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713411" cy="4463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10075" w:rsidRPr="00810075" w:rsidRDefault="00810075" w:rsidP="00810075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810075">
                      <w:rPr>
                        <w:rFonts w:ascii="Arial" w:hAnsi="Arial" w:cs="Arial"/>
                        <w:b/>
                        <w:bCs/>
                        <w:color w:val="808080"/>
                        <w:sz w:val="18"/>
                        <w:szCs w:val="18"/>
                      </w:rPr>
                      <w:t>Kassenzahnärztliche Bundesvereinigung</w:t>
                    </w:r>
                  </w:p>
                </w:txbxContent>
              </v:textbox>
              <w10:wrap type="topAndBottom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773B"/>
    <w:multiLevelType w:val="hybridMultilevel"/>
    <w:tmpl w:val="D1D43BDA"/>
    <w:lvl w:ilvl="0" w:tplc="A73060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001BF"/>
    <w:multiLevelType w:val="hybridMultilevel"/>
    <w:tmpl w:val="4EC09E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83CD2"/>
    <w:multiLevelType w:val="hybridMultilevel"/>
    <w:tmpl w:val="E9E21E6E"/>
    <w:lvl w:ilvl="0" w:tplc="A73060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F51C0F"/>
    <w:multiLevelType w:val="hybridMultilevel"/>
    <w:tmpl w:val="27508FC6"/>
    <w:lvl w:ilvl="0" w:tplc="A73060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1B761A"/>
    <w:multiLevelType w:val="hybridMultilevel"/>
    <w:tmpl w:val="76309AF4"/>
    <w:lvl w:ilvl="0" w:tplc="A73060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714182"/>
    <w:multiLevelType w:val="hybridMultilevel"/>
    <w:tmpl w:val="D90C44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BE3739"/>
    <w:multiLevelType w:val="hybridMultilevel"/>
    <w:tmpl w:val="726CF8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5EA"/>
    <w:rsid w:val="00042C8A"/>
    <w:rsid w:val="0005663A"/>
    <w:rsid w:val="00064F34"/>
    <w:rsid w:val="000653B4"/>
    <w:rsid w:val="0007079D"/>
    <w:rsid w:val="000B4B32"/>
    <w:rsid w:val="000C6C4B"/>
    <w:rsid w:val="000E7EB3"/>
    <w:rsid w:val="00112C7D"/>
    <w:rsid w:val="0011302D"/>
    <w:rsid w:val="00125712"/>
    <w:rsid w:val="001265FE"/>
    <w:rsid w:val="00137811"/>
    <w:rsid w:val="00184D20"/>
    <w:rsid w:val="001C3CD0"/>
    <w:rsid w:val="0021412F"/>
    <w:rsid w:val="002310E8"/>
    <w:rsid w:val="00233A18"/>
    <w:rsid w:val="002811A0"/>
    <w:rsid w:val="003238EE"/>
    <w:rsid w:val="00327E94"/>
    <w:rsid w:val="0038267C"/>
    <w:rsid w:val="003828BC"/>
    <w:rsid w:val="003B16AE"/>
    <w:rsid w:val="00405B0C"/>
    <w:rsid w:val="00413CFB"/>
    <w:rsid w:val="00423AE0"/>
    <w:rsid w:val="00426C4F"/>
    <w:rsid w:val="00441A53"/>
    <w:rsid w:val="00452F9B"/>
    <w:rsid w:val="00482935"/>
    <w:rsid w:val="00485C43"/>
    <w:rsid w:val="004910F3"/>
    <w:rsid w:val="004F4AA9"/>
    <w:rsid w:val="005221DE"/>
    <w:rsid w:val="00532689"/>
    <w:rsid w:val="00536302"/>
    <w:rsid w:val="0059495D"/>
    <w:rsid w:val="005A3F9C"/>
    <w:rsid w:val="005A70E8"/>
    <w:rsid w:val="005C332B"/>
    <w:rsid w:val="005D5BEF"/>
    <w:rsid w:val="005D6EC0"/>
    <w:rsid w:val="005E3234"/>
    <w:rsid w:val="005E7338"/>
    <w:rsid w:val="005E7BF2"/>
    <w:rsid w:val="005F46FE"/>
    <w:rsid w:val="006071F2"/>
    <w:rsid w:val="00607E33"/>
    <w:rsid w:val="00635A2F"/>
    <w:rsid w:val="0068091A"/>
    <w:rsid w:val="006D7F95"/>
    <w:rsid w:val="006E0878"/>
    <w:rsid w:val="00740EB0"/>
    <w:rsid w:val="00763D86"/>
    <w:rsid w:val="00772CCE"/>
    <w:rsid w:val="00795E17"/>
    <w:rsid w:val="007A7033"/>
    <w:rsid w:val="007B36C3"/>
    <w:rsid w:val="007C0730"/>
    <w:rsid w:val="007D482C"/>
    <w:rsid w:val="00810075"/>
    <w:rsid w:val="0082051A"/>
    <w:rsid w:val="00823F16"/>
    <w:rsid w:val="00865B6E"/>
    <w:rsid w:val="00875BC1"/>
    <w:rsid w:val="008D675D"/>
    <w:rsid w:val="008F07E3"/>
    <w:rsid w:val="00907FBF"/>
    <w:rsid w:val="009312BC"/>
    <w:rsid w:val="009A5607"/>
    <w:rsid w:val="009A7B6D"/>
    <w:rsid w:val="009B2A54"/>
    <w:rsid w:val="009D656E"/>
    <w:rsid w:val="009F23C1"/>
    <w:rsid w:val="00A5422D"/>
    <w:rsid w:val="00A855FB"/>
    <w:rsid w:val="00A94E0D"/>
    <w:rsid w:val="00A9550F"/>
    <w:rsid w:val="00AA137E"/>
    <w:rsid w:val="00AA277D"/>
    <w:rsid w:val="00AC7384"/>
    <w:rsid w:val="00AE60C8"/>
    <w:rsid w:val="00AF146F"/>
    <w:rsid w:val="00B23984"/>
    <w:rsid w:val="00B239A0"/>
    <w:rsid w:val="00B24D94"/>
    <w:rsid w:val="00B40E75"/>
    <w:rsid w:val="00B56AEB"/>
    <w:rsid w:val="00B800A6"/>
    <w:rsid w:val="00B944EF"/>
    <w:rsid w:val="00BB0FDF"/>
    <w:rsid w:val="00BD285C"/>
    <w:rsid w:val="00BE1890"/>
    <w:rsid w:val="00C00407"/>
    <w:rsid w:val="00C05B6A"/>
    <w:rsid w:val="00C4365D"/>
    <w:rsid w:val="00C44049"/>
    <w:rsid w:val="00C477F7"/>
    <w:rsid w:val="00C956C3"/>
    <w:rsid w:val="00CA15EA"/>
    <w:rsid w:val="00CA76D4"/>
    <w:rsid w:val="00CB3BED"/>
    <w:rsid w:val="00CF5852"/>
    <w:rsid w:val="00D27D3C"/>
    <w:rsid w:val="00D47492"/>
    <w:rsid w:val="00D643D9"/>
    <w:rsid w:val="00D74DC2"/>
    <w:rsid w:val="00DB0CA4"/>
    <w:rsid w:val="00DB0F72"/>
    <w:rsid w:val="00DB1D15"/>
    <w:rsid w:val="00DC2317"/>
    <w:rsid w:val="00DC70E8"/>
    <w:rsid w:val="00DC7CBD"/>
    <w:rsid w:val="00E02F9D"/>
    <w:rsid w:val="00E3371E"/>
    <w:rsid w:val="00E65A1D"/>
    <w:rsid w:val="00E80BB2"/>
    <w:rsid w:val="00E833AF"/>
    <w:rsid w:val="00EA7C1C"/>
    <w:rsid w:val="00F11D8C"/>
    <w:rsid w:val="00F150EC"/>
    <w:rsid w:val="00F15C8C"/>
    <w:rsid w:val="00F200BE"/>
    <w:rsid w:val="00F30ABA"/>
    <w:rsid w:val="00F53958"/>
    <w:rsid w:val="00F759C6"/>
    <w:rsid w:val="00F77697"/>
    <w:rsid w:val="00F91370"/>
    <w:rsid w:val="00F92C3B"/>
    <w:rsid w:val="00FA6767"/>
    <w:rsid w:val="00FC41CA"/>
    <w:rsid w:val="00FD1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15C8C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7E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40EB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15C8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F23C1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F15C8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40EB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D47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7492"/>
  </w:style>
  <w:style w:type="paragraph" w:styleId="Fuzeile">
    <w:name w:val="footer"/>
    <w:basedOn w:val="Standard"/>
    <w:link w:val="FuzeileZchn"/>
    <w:uiPriority w:val="99"/>
    <w:unhideWhenUsed/>
    <w:rsid w:val="00D47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74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53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53958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7E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312B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312B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312B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312B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312BC"/>
    <w:rPr>
      <w:b/>
      <w:bCs/>
      <w:sz w:val="20"/>
      <w:szCs w:val="20"/>
    </w:rPr>
  </w:style>
  <w:style w:type="paragraph" w:styleId="KeinLeerraum">
    <w:name w:val="No Spacing"/>
    <w:uiPriority w:val="1"/>
    <w:qFormat/>
    <w:rsid w:val="00C4365D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C436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15C8C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7E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40EB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15C8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F23C1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F15C8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40EB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D47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7492"/>
  </w:style>
  <w:style w:type="paragraph" w:styleId="Fuzeile">
    <w:name w:val="footer"/>
    <w:basedOn w:val="Standard"/>
    <w:link w:val="FuzeileZchn"/>
    <w:uiPriority w:val="99"/>
    <w:unhideWhenUsed/>
    <w:rsid w:val="00D47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749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53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53958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7E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312B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312B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312B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312B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312BC"/>
    <w:rPr>
      <w:b/>
      <w:bCs/>
      <w:sz w:val="20"/>
      <w:szCs w:val="20"/>
    </w:rPr>
  </w:style>
  <w:style w:type="paragraph" w:styleId="KeinLeerraum">
    <w:name w:val="No Spacing"/>
    <w:uiPriority w:val="1"/>
    <w:qFormat/>
    <w:rsid w:val="00C4365D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C436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3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0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0000B5-9226-4A71-8F0C-AEDA6C9ED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KZBV</Company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Harry Marschke</dc:creator>
  <cp:lastModifiedBy>Michael Brand</cp:lastModifiedBy>
  <cp:revision>5</cp:revision>
  <cp:lastPrinted>2012-03-06T12:29:00Z</cp:lastPrinted>
  <dcterms:created xsi:type="dcterms:W3CDTF">2012-05-02T15:04:00Z</dcterms:created>
  <dcterms:modified xsi:type="dcterms:W3CDTF">2012-05-21T11:22:00Z</dcterms:modified>
</cp:coreProperties>
</file>